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4AE5" w14:textId="77C19821" w:rsidR="00034D91" w:rsidRPr="00DE5550" w:rsidRDefault="00034D91" w:rsidP="00034D91">
      <w:pPr>
        <w:widowControl/>
        <w:autoSpaceDE w:val="0"/>
        <w:autoSpaceDN w:val="0"/>
        <w:adjustRightInd w:val="0"/>
        <w:jc w:val="center"/>
        <w:rPr>
          <w:rFonts w:cs="Arial"/>
          <w:b/>
          <w:bCs/>
          <w:color w:val="auto"/>
          <w:sz w:val="32"/>
          <w:szCs w:val="32"/>
        </w:rPr>
      </w:pPr>
      <w:r w:rsidRPr="00DE5550">
        <w:rPr>
          <w:rFonts w:cs="Arial"/>
          <w:b/>
          <w:bCs/>
          <w:color w:val="auto"/>
          <w:sz w:val="32"/>
          <w:szCs w:val="32"/>
        </w:rPr>
        <w:t>SCORING ABBREVIATIONS</w:t>
      </w:r>
    </w:p>
    <w:p w14:paraId="58F62C10" w14:textId="77777777" w:rsidR="00DE5550" w:rsidRPr="00DE5550" w:rsidRDefault="00DE5550" w:rsidP="00034D91">
      <w:pPr>
        <w:widowControl/>
        <w:autoSpaceDE w:val="0"/>
        <w:autoSpaceDN w:val="0"/>
        <w:adjustRightInd w:val="0"/>
        <w:jc w:val="center"/>
        <w:rPr>
          <w:rFonts w:cs="Arial"/>
          <w:b/>
          <w:bCs/>
          <w:color w:val="auto"/>
          <w:sz w:val="32"/>
          <w:szCs w:val="32"/>
        </w:rPr>
      </w:pPr>
    </w:p>
    <w:p w14:paraId="1B5ED30B" w14:textId="7705483D" w:rsidR="00DE5550" w:rsidRDefault="00DE5550" w:rsidP="00DE5550">
      <w:pPr>
        <w:widowControl/>
        <w:autoSpaceDE w:val="0"/>
        <w:autoSpaceDN w:val="0"/>
        <w:adjustRightInd w:val="0"/>
        <w:jc w:val="center"/>
        <w:rPr>
          <w:rFonts w:cs="Arial"/>
          <w:b/>
          <w:bCs/>
          <w:color w:val="auto"/>
          <w:sz w:val="28"/>
          <w:szCs w:val="28"/>
        </w:rPr>
      </w:pPr>
      <w:r w:rsidRPr="00DE5550">
        <w:rPr>
          <w:rFonts w:cs="Arial"/>
          <w:b/>
          <w:bCs/>
          <w:color w:val="auto"/>
          <w:sz w:val="28"/>
          <w:szCs w:val="28"/>
        </w:rPr>
        <w:t>Racing Rules of Sailing Scoring Abbreviations</w:t>
      </w:r>
    </w:p>
    <w:p w14:paraId="20B1319E" w14:textId="77777777" w:rsidR="00DE5550" w:rsidRPr="00DE5550" w:rsidRDefault="00DE5550" w:rsidP="00DE5550">
      <w:pPr>
        <w:widowControl/>
        <w:autoSpaceDE w:val="0"/>
        <w:autoSpaceDN w:val="0"/>
        <w:adjustRightInd w:val="0"/>
        <w:jc w:val="center"/>
        <w:rPr>
          <w:rFonts w:cs="Arial"/>
          <w:b/>
          <w:bCs/>
          <w:color w:val="auto"/>
          <w:sz w:val="28"/>
          <w:szCs w:val="28"/>
        </w:rPr>
      </w:pPr>
    </w:p>
    <w:p w14:paraId="1FD31D79"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DNC Did not start; did not come to the starting area</w:t>
      </w:r>
    </w:p>
    <w:p w14:paraId="011E6195" w14:textId="77777777" w:rsidR="00DE5550" w:rsidRPr="00DE5550" w:rsidRDefault="00DE5550" w:rsidP="00DE5550">
      <w:pPr>
        <w:widowControl/>
        <w:autoSpaceDE w:val="0"/>
        <w:autoSpaceDN w:val="0"/>
        <w:adjustRightInd w:val="0"/>
        <w:rPr>
          <w:rFonts w:cs="Arial"/>
          <w:color w:val="auto"/>
        </w:rPr>
      </w:pPr>
    </w:p>
    <w:p w14:paraId="05925491"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DNS Did not start (other than DNC and OCS)</w:t>
      </w:r>
    </w:p>
    <w:p w14:paraId="59C3046F" w14:textId="77777777" w:rsidR="00DE5550" w:rsidRPr="00DE5550" w:rsidRDefault="00DE5550" w:rsidP="00DE5550">
      <w:pPr>
        <w:widowControl/>
        <w:autoSpaceDE w:val="0"/>
        <w:autoSpaceDN w:val="0"/>
        <w:adjustRightInd w:val="0"/>
        <w:rPr>
          <w:rFonts w:cs="Arial"/>
          <w:color w:val="auto"/>
        </w:rPr>
      </w:pPr>
    </w:p>
    <w:p w14:paraId="298DFFC8"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OCS Did not start; on the course side of the starting line at her starting signal and failed to start, or broke rule 30.1</w:t>
      </w:r>
    </w:p>
    <w:p w14:paraId="479A73FF" w14:textId="77777777" w:rsidR="00DE5550" w:rsidRPr="00DE5550" w:rsidRDefault="00DE5550" w:rsidP="00DE5550">
      <w:pPr>
        <w:widowControl/>
        <w:autoSpaceDE w:val="0"/>
        <w:autoSpaceDN w:val="0"/>
        <w:adjustRightInd w:val="0"/>
        <w:rPr>
          <w:rFonts w:cs="Arial"/>
          <w:color w:val="auto"/>
        </w:rPr>
      </w:pPr>
    </w:p>
    <w:p w14:paraId="0B60DD66"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ZFP 20% penalty under rule 30.2. If flag Z has been displayed, no part of a boat’s hull shall be in the triangle formed by the ends of the starting line and the first mark during the last minute before her starting signal. If a boat breaks this rule and is identified, she shall receive, without a hearing, a 20% Scoring Penalty calculated as stated in rule 44.3(c). She shall be penalized even if the race is restarted or resailed, but not if it is postponed or abandoned before the starting signal. If she is similarly identified during a subsequent attempt to start the same race, she shall receive an additional 20% Scoring Penalty.</w:t>
      </w:r>
    </w:p>
    <w:p w14:paraId="1E1A4AC7" w14:textId="77777777" w:rsidR="00DE5550" w:rsidRPr="00DE5550" w:rsidRDefault="00DE5550" w:rsidP="00DE5550">
      <w:pPr>
        <w:widowControl/>
        <w:autoSpaceDE w:val="0"/>
        <w:autoSpaceDN w:val="0"/>
        <w:adjustRightInd w:val="0"/>
        <w:rPr>
          <w:rFonts w:cs="Arial"/>
          <w:color w:val="auto"/>
        </w:rPr>
      </w:pPr>
    </w:p>
    <w:p w14:paraId="71B37B06"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UFD Disqualification under rule 30.3. Otherwise known as the U flag. A boat within the triangle formed by the ends of the line and the first mark during the minute before the start will be disqualified without a hearing. If a restart or resail is called, the disqualification is rescinded, unlike the black-flag or Z-flag penalties.</w:t>
      </w:r>
    </w:p>
    <w:p w14:paraId="0D838101" w14:textId="77777777" w:rsidR="00DE5550" w:rsidRPr="00DE5550" w:rsidRDefault="00DE5550" w:rsidP="00DE5550">
      <w:pPr>
        <w:widowControl/>
        <w:autoSpaceDE w:val="0"/>
        <w:autoSpaceDN w:val="0"/>
        <w:adjustRightInd w:val="0"/>
        <w:rPr>
          <w:rFonts w:cs="Arial"/>
          <w:color w:val="auto"/>
        </w:rPr>
      </w:pPr>
    </w:p>
    <w:p w14:paraId="08F8C587"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BFD Disqualification under rule 30.4. A boat within the triangle formed by the ends of the line and the first mark during the minute before the start will be disqualified without a hearing. BFD sailing term.</w:t>
      </w:r>
    </w:p>
    <w:p w14:paraId="4ABE8E6E" w14:textId="77777777" w:rsidR="00DE5550" w:rsidRPr="00DE5550" w:rsidRDefault="00DE5550" w:rsidP="00DE5550">
      <w:pPr>
        <w:widowControl/>
        <w:autoSpaceDE w:val="0"/>
        <w:autoSpaceDN w:val="0"/>
        <w:adjustRightInd w:val="0"/>
        <w:rPr>
          <w:rFonts w:cs="Arial"/>
          <w:color w:val="auto"/>
        </w:rPr>
      </w:pPr>
    </w:p>
    <w:p w14:paraId="0B6AE942"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SCP Scoring Penalty applied. The race score for a boat that takes a Scoring Penalty shall be the score she would have received without that penalty, made worse by the number of places stated in the notice of race or sailing instructions. When the number of places is not stated, the penalty shall be 20% of the score for Did Not Finish, rounded to the nearest whole number. However, the penalty shall not cause the boat’s score to be worse than the score for Did Not Finish.</w:t>
      </w:r>
    </w:p>
    <w:p w14:paraId="1F832D8B" w14:textId="77777777" w:rsidR="00DE5550" w:rsidRPr="00DE5550" w:rsidRDefault="00DE5550" w:rsidP="00DE5550">
      <w:pPr>
        <w:widowControl/>
        <w:autoSpaceDE w:val="0"/>
        <w:autoSpaceDN w:val="0"/>
        <w:adjustRightInd w:val="0"/>
        <w:rPr>
          <w:rFonts w:cs="Arial"/>
          <w:color w:val="auto"/>
        </w:rPr>
      </w:pPr>
    </w:p>
    <w:p w14:paraId="0676F98D"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NSC Did not sail the course.</w:t>
      </w:r>
    </w:p>
    <w:p w14:paraId="1D5057B6" w14:textId="77777777" w:rsidR="00DE5550" w:rsidRPr="00DE5550" w:rsidRDefault="00DE5550" w:rsidP="00DE5550">
      <w:pPr>
        <w:widowControl/>
        <w:autoSpaceDE w:val="0"/>
        <w:autoSpaceDN w:val="0"/>
        <w:adjustRightInd w:val="0"/>
        <w:rPr>
          <w:rFonts w:cs="Arial"/>
          <w:color w:val="auto"/>
        </w:rPr>
      </w:pPr>
    </w:p>
    <w:p w14:paraId="2E41B184"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DNF Did not finish</w:t>
      </w:r>
    </w:p>
    <w:p w14:paraId="2943EAF9" w14:textId="77777777" w:rsidR="00DE5550" w:rsidRPr="00DE5550" w:rsidRDefault="00DE5550" w:rsidP="00DE5550">
      <w:pPr>
        <w:widowControl/>
        <w:autoSpaceDE w:val="0"/>
        <w:autoSpaceDN w:val="0"/>
        <w:adjustRightInd w:val="0"/>
        <w:rPr>
          <w:rFonts w:cs="Arial"/>
          <w:color w:val="auto"/>
        </w:rPr>
      </w:pPr>
    </w:p>
    <w:p w14:paraId="2D9A1A04"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RET Retired</w:t>
      </w:r>
    </w:p>
    <w:p w14:paraId="0BE4D0D7" w14:textId="77777777" w:rsidR="00DE5550" w:rsidRPr="00DE5550" w:rsidRDefault="00DE5550" w:rsidP="00DE5550">
      <w:pPr>
        <w:widowControl/>
        <w:autoSpaceDE w:val="0"/>
        <w:autoSpaceDN w:val="0"/>
        <w:adjustRightInd w:val="0"/>
        <w:rPr>
          <w:rFonts w:cs="Arial"/>
          <w:color w:val="auto"/>
        </w:rPr>
      </w:pPr>
    </w:p>
    <w:p w14:paraId="642C8339"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DSQ Disqualification</w:t>
      </w:r>
    </w:p>
    <w:p w14:paraId="1AB3079D" w14:textId="77777777" w:rsidR="00DE5550" w:rsidRPr="00DE5550" w:rsidRDefault="00DE5550" w:rsidP="00DE5550">
      <w:pPr>
        <w:widowControl/>
        <w:autoSpaceDE w:val="0"/>
        <w:autoSpaceDN w:val="0"/>
        <w:adjustRightInd w:val="0"/>
        <w:rPr>
          <w:rFonts w:cs="Arial"/>
          <w:color w:val="auto"/>
        </w:rPr>
      </w:pPr>
    </w:p>
    <w:p w14:paraId="6137C6B5" w14:textId="77777777" w:rsidR="00DE5550" w:rsidRPr="00DE5550" w:rsidRDefault="00DE5550" w:rsidP="00DE5550">
      <w:pPr>
        <w:widowControl/>
        <w:autoSpaceDE w:val="0"/>
        <w:autoSpaceDN w:val="0"/>
        <w:adjustRightInd w:val="0"/>
        <w:rPr>
          <w:rFonts w:cs="Arial"/>
          <w:color w:val="auto"/>
        </w:rPr>
      </w:pPr>
      <w:r w:rsidRPr="00DE5550">
        <w:rPr>
          <w:rFonts w:cs="Arial"/>
          <w:color w:val="auto"/>
        </w:rPr>
        <w:t>DNE Disqualification that is not excludable</w:t>
      </w:r>
    </w:p>
    <w:p w14:paraId="33CF0232" w14:textId="77777777" w:rsidR="00DE5550" w:rsidRPr="00DE5550" w:rsidRDefault="00DE5550" w:rsidP="00DE5550">
      <w:pPr>
        <w:widowControl/>
        <w:autoSpaceDE w:val="0"/>
        <w:autoSpaceDN w:val="0"/>
        <w:adjustRightInd w:val="0"/>
        <w:rPr>
          <w:rFonts w:cs="Arial"/>
          <w:color w:val="auto"/>
        </w:rPr>
      </w:pPr>
    </w:p>
    <w:p w14:paraId="26254B6E" w14:textId="2793F5FB" w:rsidR="00B262DF" w:rsidRPr="00DE5550" w:rsidRDefault="00DE5550" w:rsidP="00DE5550">
      <w:pPr>
        <w:widowControl/>
        <w:autoSpaceDE w:val="0"/>
        <w:autoSpaceDN w:val="0"/>
        <w:adjustRightInd w:val="0"/>
        <w:rPr>
          <w:rFonts w:cs="Arial"/>
        </w:rPr>
      </w:pPr>
      <w:r w:rsidRPr="00DE5550">
        <w:rPr>
          <w:rFonts w:cs="Arial"/>
          <w:color w:val="auto"/>
        </w:rPr>
        <w:t>RDG Redress given DPI Discretionary penalty imposed</w:t>
      </w:r>
    </w:p>
    <w:sectPr w:rsidR="00B262DF" w:rsidRPr="00DE5550" w:rsidSect="00B2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024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685308F4"/>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850682519">
    <w:abstractNumId w:val="1"/>
  </w:num>
  <w:num w:numId="2" w16cid:durableId="1891846650">
    <w:abstractNumId w:val="0"/>
  </w:num>
  <w:num w:numId="3" w16cid:durableId="110562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4D91"/>
    <w:rsid w:val="00034D91"/>
    <w:rsid w:val="00050492"/>
    <w:rsid w:val="000F2C73"/>
    <w:rsid w:val="001159A3"/>
    <w:rsid w:val="0027539A"/>
    <w:rsid w:val="005C0722"/>
    <w:rsid w:val="005D58AB"/>
    <w:rsid w:val="00653C58"/>
    <w:rsid w:val="00657A91"/>
    <w:rsid w:val="007C157E"/>
    <w:rsid w:val="007C3CB0"/>
    <w:rsid w:val="007D385F"/>
    <w:rsid w:val="00A25E2B"/>
    <w:rsid w:val="00A92C7C"/>
    <w:rsid w:val="00B262DF"/>
    <w:rsid w:val="00C16648"/>
    <w:rsid w:val="00CF5634"/>
    <w:rsid w:val="00DE5550"/>
    <w:rsid w:val="00E0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66FA"/>
  <w15:docId w15:val="{9F95D5AE-0DC6-4834-992F-403543A5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7E"/>
    <w:pPr>
      <w:widowControl w:val="0"/>
      <w:jc w:val="left"/>
    </w:pPr>
    <w:rPr>
      <w:rFonts w:ascii="Arial" w:hAnsi="Arial" w:cs="Times New Roman"/>
      <w:color w:val="000000"/>
      <w:sz w:val="20"/>
      <w:szCs w:val="20"/>
    </w:rPr>
  </w:style>
  <w:style w:type="paragraph" w:styleId="Heading1">
    <w:name w:val="heading 1"/>
    <w:basedOn w:val="Normal"/>
    <w:next w:val="Normal"/>
    <w:link w:val="Heading1Char"/>
    <w:uiPriority w:val="9"/>
    <w:qFormat/>
    <w:rsid w:val="007C3CB0"/>
    <w:pPr>
      <w:keepNext/>
      <w:numPr>
        <w:numId w:val="3"/>
      </w:numPr>
      <w:spacing w:before="240"/>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7C3CB0"/>
    <w:pPr>
      <w:keepNext/>
      <w:numPr>
        <w:ilvl w:val="1"/>
        <w:numId w:val="3"/>
      </w:numPr>
      <w:outlineLvl w:val="1"/>
    </w:pPr>
    <w:rPr>
      <w:rFonts w:eastAsiaTheme="majorEastAsi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autoRedefine/>
    <w:uiPriority w:val="99"/>
    <w:unhideWhenUsed/>
    <w:qFormat/>
    <w:rsid w:val="00A25E2B"/>
    <w:rPr>
      <w:szCs w:val="24"/>
    </w:rPr>
  </w:style>
  <w:style w:type="character" w:customStyle="1" w:styleId="Heading1Char">
    <w:name w:val="Heading 1 Char"/>
    <w:basedOn w:val="DefaultParagraphFont"/>
    <w:link w:val="Heading1"/>
    <w:uiPriority w:val="9"/>
    <w:rsid w:val="007C3CB0"/>
    <w:rPr>
      <w:rFonts w:ascii="Arial" w:eastAsiaTheme="majorEastAsia" w:hAnsi="Arial" w:cstheme="majorBidi"/>
      <w:b/>
      <w:bCs/>
      <w:color w:val="000000"/>
      <w:kern w:val="32"/>
      <w:sz w:val="24"/>
      <w:szCs w:val="32"/>
    </w:rPr>
  </w:style>
  <w:style w:type="character" w:customStyle="1" w:styleId="Heading2Char">
    <w:name w:val="Heading 2 Char"/>
    <w:basedOn w:val="DefaultParagraphFont"/>
    <w:link w:val="Heading2"/>
    <w:uiPriority w:val="9"/>
    <w:rsid w:val="007C3CB0"/>
    <w:rPr>
      <w:rFonts w:ascii="Arial" w:eastAsiaTheme="majorEastAsia" w:hAnsi="Arial" w:cstheme="majorBidi"/>
      <w:b/>
      <w:bCs/>
      <w:iCs/>
      <w:color w:val="000000"/>
      <w:sz w:val="24"/>
      <w:szCs w:val="28"/>
    </w:rPr>
  </w:style>
  <w:style w:type="numbering" w:customStyle="1" w:styleId="Style1">
    <w:name w:val="Style1"/>
    <w:uiPriority w:val="99"/>
    <w:rsid w:val="007C3CB0"/>
    <w:pPr>
      <w:numPr>
        <w:numId w:val="1"/>
      </w:numPr>
    </w:pPr>
  </w:style>
  <w:style w:type="paragraph" w:styleId="Subtitle">
    <w:name w:val="Subtitle"/>
    <w:basedOn w:val="Normal"/>
    <w:next w:val="Normal"/>
    <w:link w:val="SubtitleChar"/>
    <w:autoRedefine/>
    <w:uiPriority w:val="11"/>
    <w:qFormat/>
    <w:rsid w:val="007C157E"/>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7C157E"/>
    <w:rPr>
      <w:rFonts w:ascii="Arial" w:eastAsiaTheme="majorEastAsia" w:hAnsi="Arial" w:cstheme="majorBidi"/>
      <w:color w:val="000000"/>
      <w:sz w:val="24"/>
      <w:szCs w:val="24"/>
    </w:rPr>
  </w:style>
  <w:style w:type="paragraph" w:styleId="Title">
    <w:name w:val="Title"/>
    <w:basedOn w:val="Normal"/>
    <w:next w:val="Normal"/>
    <w:link w:val="TitleChar"/>
    <w:autoRedefine/>
    <w:uiPriority w:val="10"/>
    <w:qFormat/>
    <w:rsid w:val="007C157E"/>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7C157E"/>
    <w:rPr>
      <w:rFonts w:ascii="Arial" w:eastAsiaTheme="majorEastAsia" w:hAnsi="Arial" w:cstheme="majorBidi"/>
      <w:b/>
      <w:bCs/>
      <w:color w:val="000000"/>
      <w:kern w:val="28"/>
      <w:sz w:val="32"/>
      <w:szCs w:val="32"/>
    </w:rPr>
  </w:style>
  <w:style w:type="character" w:styleId="SubtleEmphasis">
    <w:name w:val="Subtle Emphasis"/>
    <w:basedOn w:val="DefaultParagraphFont"/>
    <w:uiPriority w:val="19"/>
    <w:qFormat/>
    <w:rsid w:val="007C157E"/>
    <w:rPr>
      <w:rFonts w:ascii="Arial" w:hAnsi="Arial" w:hint="default"/>
      <w:i/>
      <w:iCs/>
      <w:strike w:val="0"/>
      <w:noProof/>
      <w:color w:val="808080" w:themeColor="text1" w:themeTint="7F"/>
      <w:spacing w:val="0"/>
      <w:sz w:val="20"/>
    </w:rPr>
  </w:style>
  <w:style w:type="character" w:styleId="IntenseEmphasis">
    <w:name w:val="Intense Emphasis"/>
    <w:basedOn w:val="DefaultParagraphFont"/>
    <w:uiPriority w:val="21"/>
    <w:qFormat/>
    <w:rsid w:val="007C157E"/>
    <w:rPr>
      <w:rFonts w:ascii="Arial" w:hAnsi="Arial" w:hint="default"/>
      <w:b/>
      <w:bCs/>
      <w:i/>
      <w:iCs/>
      <w:strike w:val="0"/>
      <w:noProof/>
      <w:color w:val="4F81BD" w:themeColor="accent1"/>
      <w:spacing w:val="0"/>
      <w:sz w:val="20"/>
    </w:rPr>
  </w:style>
  <w:style w:type="character" w:styleId="Strong">
    <w:name w:val="Strong"/>
    <w:basedOn w:val="DefaultParagraphFont"/>
    <w:uiPriority w:val="22"/>
    <w:qFormat/>
    <w:rsid w:val="007C157E"/>
    <w:rPr>
      <w:rFonts w:ascii="Arial" w:hAnsi="Arial" w:hint="default"/>
      <w:b/>
      <w:bCs/>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1813</Characters>
  <Application>Microsoft Office Word</Application>
  <DocSecurity>0</DocSecurity>
  <Lines>15</Lines>
  <Paragraphs>4</Paragraphs>
  <ScaleCrop>false</ScaleCrop>
  <Company>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Conti</dc:creator>
  <cp:keywords/>
  <dc:description/>
  <cp:lastModifiedBy>Shelley Conti</cp:lastModifiedBy>
  <cp:revision>3</cp:revision>
  <dcterms:created xsi:type="dcterms:W3CDTF">2012-01-10T20:47:00Z</dcterms:created>
  <dcterms:modified xsi:type="dcterms:W3CDTF">2022-04-22T06:08:00Z</dcterms:modified>
</cp:coreProperties>
</file>